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4"/>
        <w:gridCol w:w="8698"/>
      </w:tblGrid>
      <w:tr w:rsidR="00FF018C" w14:paraId="192589F6" w14:textId="77777777" w:rsidTr="00E7277E">
        <w:tc>
          <w:tcPr>
            <w:tcW w:w="544" w:type="dxa"/>
            <w:shd w:val="clear" w:color="auto" w:fill="D0CECE" w:themeFill="background2" w:themeFillShade="E6"/>
          </w:tcPr>
          <w:p w14:paraId="3653FBEE" w14:textId="17D37CD3" w:rsidR="00FF018C" w:rsidRDefault="00FF018C" w:rsidP="00C51AFD">
            <w:pPr>
              <w:spacing w:line="480" w:lineRule="auto"/>
              <w:rPr>
                <w:b/>
              </w:rPr>
            </w:pPr>
            <w:bookmarkStart w:id="0" w:name="_GoBack"/>
            <w:bookmarkEnd w:id="0"/>
            <w:r>
              <w:rPr>
                <w:b/>
              </w:rPr>
              <w:t>Tile</w:t>
            </w:r>
          </w:p>
        </w:tc>
        <w:tc>
          <w:tcPr>
            <w:tcW w:w="8698" w:type="dxa"/>
            <w:shd w:val="clear" w:color="auto" w:fill="D0CECE" w:themeFill="background2" w:themeFillShade="E6"/>
          </w:tcPr>
          <w:p w14:paraId="4EF49C85" w14:textId="47E74BEF" w:rsidR="00FF018C" w:rsidRDefault="00FF018C" w:rsidP="00C51AFD">
            <w:pPr>
              <w:spacing w:line="480" w:lineRule="auto"/>
              <w:rPr>
                <w:b/>
              </w:rPr>
            </w:pPr>
            <w:r>
              <w:rPr>
                <w:b/>
              </w:rPr>
              <w:t>Comment</w:t>
            </w:r>
          </w:p>
        </w:tc>
      </w:tr>
      <w:tr w:rsidR="00FF018C" w14:paraId="735EEB62" w14:textId="77777777" w:rsidTr="00E7277E">
        <w:tc>
          <w:tcPr>
            <w:tcW w:w="544" w:type="dxa"/>
          </w:tcPr>
          <w:p w14:paraId="502A6E92" w14:textId="0F58DECD" w:rsidR="00FF018C" w:rsidRDefault="00FF018C" w:rsidP="00C51AFD">
            <w:pPr>
              <w:spacing w:line="480" w:lineRule="auto"/>
              <w:rPr>
                <w:b/>
              </w:rPr>
            </w:pPr>
            <w:r>
              <w:rPr>
                <w:b/>
              </w:rPr>
              <w:t>1</w:t>
            </w:r>
          </w:p>
        </w:tc>
        <w:tc>
          <w:tcPr>
            <w:tcW w:w="8698" w:type="dxa"/>
          </w:tcPr>
          <w:p w14:paraId="06E0A678" w14:textId="6E02BEE1" w:rsidR="00FF018C" w:rsidRDefault="00E7277E" w:rsidP="00C51AFD">
            <w:pPr>
              <w:spacing w:line="480" w:lineRule="auto"/>
              <w:rPr>
                <w:b/>
              </w:rPr>
            </w:pPr>
            <w:r>
              <w:rPr>
                <w:b/>
              </w:rPr>
              <w:t>OPENING SLIDE</w:t>
            </w:r>
          </w:p>
        </w:tc>
      </w:tr>
      <w:tr w:rsidR="00FF018C" w14:paraId="30400CD7" w14:textId="77777777" w:rsidTr="00E7277E">
        <w:tc>
          <w:tcPr>
            <w:tcW w:w="544" w:type="dxa"/>
          </w:tcPr>
          <w:p w14:paraId="1B790BBC" w14:textId="5F68232E" w:rsidR="00FF018C" w:rsidRDefault="00FF018C" w:rsidP="00C51AFD">
            <w:pPr>
              <w:spacing w:line="480" w:lineRule="auto"/>
              <w:rPr>
                <w:b/>
              </w:rPr>
            </w:pPr>
            <w:r>
              <w:rPr>
                <w:b/>
              </w:rPr>
              <w:t>2</w:t>
            </w:r>
          </w:p>
        </w:tc>
        <w:tc>
          <w:tcPr>
            <w:tcW w:w="8698" w:type="dxa"/>
          </w:tcPr>
          <w:p w14:paraId="0DC3EBF7" w14:textId="29D5ED8B" w:rsidR="00FF018C" w:rsidRDefault="00FF018C" w:rsidP="00C51AFD">
            <w:pPr>
              <w:spacing w:line="480" w:lineRule="auto"/>
              <w:rPr>
                <w:b/>
              </w:rPr>
            </w:pPr>
            <w:r w:rsidRPr="00FF018C">
              <w:rPr>
                <w:b/>
              </w:rPr>
              <w:t xml:space="preserve">My name is Jazz, and I’m a doctoral candidate at the University of Roehampton, currently researching bisexuality in </w:t>
            </w:r>
            <w:r w:rsidR="0087538E">
              <w:rPr>
                <w:b/>
              </w:rPr>
              <w:t>South Asian communities</w:t>
            </w:r>
            <w:r w:rsidRPr="00FF018C">
              <w:rPr>
                <w:b/>
              </w:rPr>
              <w:t xml:space="preserve">. </w:t>
            </w:r>
            <w:r w:rsidRPr="00FF018C">
              <w:rPr>
                <w:b/>
              </w:rPr>
              <w:br/>
              <w:t>So very briefly, I’m going to try and outline the positions of Counselling psychology from various positions, including clients, The BPS, practitioners and the profession.</w:t>
            </w:r>
            <w:r w:rsidRPr="00FF018C">
              <w:rPr>
                <w:b/>
              </w:rPr>
              <w:br/>
              <w:t xml:space="preserve">I want to thank Martin for inviting me here to take part in the first session – I hope I can deliver some content for you to take away, or to help open up some discussion on the themes of this year’s conference – which, I am informed are the mammoth subjects of social justice and intersectionality and how they interact with Counselling Psychology. </w:t>
            </w:r>
          </w:p>
        </w:tc>
      </w:tr>
      <w:tr w:rsidR="00FF018C" w14:paraId="0632E94B" w14:textId="77777777" w:rsidTr="00E7277E">
        <w:tc>
          <w:tcPr>
            <w:tcW w:w="544" w:type="dxa"/>
          </w:tcPr>
          <w:p w14:paraId="24397118" w14:textId="391A8B34" w:rsidR="00FF018C" w:rsidRDefault="00FF018C" w:rsidP="00C51AFD">
            <w:pPr>
              <w:spacing w:line="480" w:lineRule="auto"/>
              <w:rPr>
                <w:b/>
              </w:rPr>
            </w:pPr>
            <w:r>
              <w:rPr>
                <w:b/>
              </w:rPr>
              <w:t>3</w:t>
            </w:r>
          </w:p>
        </w:tc>
        <w:tc>
          <w:tcPr>
            <w:tcW w:w="8698" w:type="dxa"/>
          </w:tcPr>
          <w:p w14:paraId="4AB46927" w14:textId="5FC3DBD3" w:rsidR="00FF018C" w:rsidRDefault="00FF018C" w:rsidP="00C51AFD">
            <w:pPr>
              <w:spacing w:line="480" w:lineRule="auto"/>
              <w:rPr>
                <w:b/>
              </w:rPr>
            </w:pPr>
            <w:r w:rsidRPr="00FF018C">
              <w:rPr>
                <w:b/>
              </w:rPr>
              <w:t xml:space="preserve">So if you’re not aware of either of those, a very quick explanation or summary is that social justice is the concept of the redistribution of opportunity in an equitable manner for those who are disadvantaged to promote a societal sense of fairness, based on the many historical injustices bestowed on people throughout history, be they economic, social, political or educational. </w:t>
            </w:r>
          </w:p>
        </w:tc>
      </w:tr>
      <w:tr w:rsidR="00FF018C" w14:paraId="2087701E" w14:textId="77777777" w:rsidTr="00E7277E">
        <w:tc>
          <w:tcPr>
            <w:tcW w:w="544" w:type="dxa"/>
          </w:tcPr>
          <w:p w14:paraId="6A2C99D7" w14:textId="4A5B2E85" w:rsidR="00FF018C" w:rsidRDefault="00FF018C" w:rsidP="00C51AFD">
            <w:pPr>
              <w:spacing w:line="480" w:lineRule="auto"/>
              <w:rPr>
                <w:b/>
              </w:rPr>
            </w:pPr>
            <w:r>
              <w:rPr>
                <w:b/>
              </w:rPr>
              <w:t>4</w:t>
            </w:r>
          </w:p>
        </w:tc>
        <w:tc>
          <w:tcPr>
            <w:tcW w:w="8698" w:type="dxa"/>
          </w:tcPr>
          <w:p w14:paraId="4C16C4C4" w14:textId="65750E2C" w:rsidR="00FF018C" w:rsidRDefault="00FF018C" w:rsidP="00C51AFD">
            <w:pPr>
              <w:spacing w:line="480" w:lineRule="auto"/>
              <w:rPr>
                <w:b/>
              </w:rPr>
            </w:pPr>
            <w:r w:rsidRPr="00FF018C">
              <w:rPr>
                <w:b/>
              </w:rPr>
              <w:t xml:space="preserve">Intersectionality (Crenshaw, 1989) is the idea that multiple identities intersect to create a whole that is not equal to its constituent parts. For example, you can be Gay, </w:t>
            </w:r>
            <w:proofErr w:type="spellStart"/>
            <w:r w:rsidRPr="00FF018C">
              <w:rPr>
                <w:b/>
              </w:rPr>
              <w:t>cisgendered</w:t>
            </w:r>
            <w:proofErr w:type="spellEnd"/>
            <w:r w:rsidRPr="00FF018C">
              <w:rPr>
                <w:b/>
              </w:rPr>
              <w:t xml:space="preserve">, and white, or you could be Gay, nonbinary and Black, and although you may both be at the intersection of gay, your subsequent intersections will not be the same – resultantly, your experience will not be the same. </w:t>
            </w:r>
          </w:p>
        </w:tc>
      </w:tr>
      <w:tr w:rsidR="00FF018C" w14:paraId="314CCD21" w14:textId="77777777" w:rsidTr="00E7277E">
        <w:tc>
          <w:tcPr>
            <w:tcW w:w="544" w:type="dxa"/>
          </w:tcPr>
          <w:p w14:paraId="06E4EB5F" w14:textId="27147BFC" w:rsidR="00FF018C" w:rsidRDefault="00FF018C" w:rsidP="00C51AFD">
            <w:pPr>
              <w:spacing w:line="480" w:lineRule="auto"/>
              <w:rPr>
                <w:b/>
              </w:rPr>
            </w:pPr>
            <w:r>
              <w:rPr>
                <w:b/>
              </w:rPr>
              <w:t>5</w:t>
            </w:r>
          </w:p>
        </w:tc>
        <w:tc>
          <w:tcPr>
            <w:tcW w:w="8698" w:type="dxa"/>
          </w:tcPr>
          <w:p w14:paraId="17263F08" w14:textId="1AFE2549" w:rsidR="00FF018C" w:rsidRDefault="00FF018C" w:rsidP="00C51AFD">
            <w:pPr>
              <w:spacing w:line="480" w:lineRule="auto"/>
              <w:rPr>
                <w:b/>
              </w:rPr>
            </w:pPr>
            <w:r w:rsidRPr="00FF018C">
              <w:rPr>
                <w:b/>
              </w:rPr>
              <w:t>I’m sure you would have noticed I used the word “equitable,” earlier. For many, the idea of social justice is in the understanding of fairness – and equality. Equal rights in the LGBT community, for example is a common theme in the media and politics right now, however, I would argue that although gay marriage has been incorporated into the political sphere, and subsequently into the modern zeitgeist, this is not an act of equitability.</w:t>
            </w:r>
          </w:p>
        </w:tc>
      </w:tr>
      <w:tr w:rsidR="00FF018C" w14:paraId="02AF64A8" w14:textId="77777777" w:rsidTr="00E7277E">
        <w:tc>
          <w:tcPr>
            <w:tcW w:w="544" w:type="dxa"/>
          </w:tcPr>
          <w:p w14:paraId="6A663FCE" w14:textId="57E539F4" w:rsidR="00FF018C" w:rsidRDefault="00FF018C" w:rsidP="00C51AFD">
            <w:pPr>
              <w:spacing w:line="480" w:lineRule="auto"/>
              <w:rPr>
                <w:b/>
              </w:rPr>
            </w:pPr>
            <w:r>
              <w:rPr>
                <w:b/>
              </w:rPr>
              <w:lastRenderedPageBreak/>
              <w:t>6</w:t>
            </w:r>
          </w:p>
        </w:tc>
        <w:tc>
          <w:tcPr>
            <w:tcW w:w="8698" w:type="dxa"/>
          </w:tcPr>
          <w:p w14:paraId="6FAAB35A" w14:textId="055198A9" w:rsidR="00FF018C" w:rsidRDefault="00FF018C" w:rsidP="00FF018C">
            <w:pPr>
              <w:spacing w:line="480" w:lineRule="auto"/>
              <w:rPr>
                <w:b/>
              </w:rPr>
            </w:pPr>
            <w:r w:rsidRPr="00FF018C">
              <w:rPr>
                <w:b/>
              </w:rPr>
              <w:t xml:space="preserve">Equitability digs deeper than equality to begin to address the larger disadvantages of other people’s so that they can attain the same access to healthcare, welfare, education, protection under law and so on and so forth. </w:t>
            </w:r>
          </w:p>
        </w:tc>
      </w:tr>
      <w:tr w:rsidR="00FF018C" w14:paraId="7E76C552" w14:textId="77777777" w:rsidTr="00E7277E">
        <w:tc>
          <w:tcPr>
            <w:tcW w:w="544" w:type="dxa"/>
          </w:tcPr>
          <w:p w14:paraId="1DB5364F" w14:textId="0FED2374" w:rsidR="00FF018C" w:rsidRDefault="00FF018C" w:rsidP="00C51AFD">
            <w:pPr>
              <w:spacing w:line="480" w:lineRule="auto"/>
              <w:rPr>
                <w:b/>
              </w:rPr>
            </w:pPr>
            <w:r>
              <w:rPr>
                <w:b/>
              </w:rPr>
              <w:t>7</w:t>
            </w:r>
          </w:p>
        </w:tc>
        <w:tc>
          <w:tcPr>
            <w:tcW w:w="8698" w:type="dxa"/>
          </w:tcPr>
          <w:p w14:paraId="4BF12DCC" w14:textId="529B505B" w:rsidR="00FF018C" w:rsidRDefault="00FF018C" w:rsidP="00C51AFD">
            <w:pPr>
              <w:spacing w:line="480" w:lineRule="auto"/>
              <w:rPr>
                <w:b/>
              </w:rPr>
            </w:pPr>
            <w:r w:rsidRPr="00FF018C">
              <w:rPr>
                <w:b/>
              </w:rPr>
              <w:t xml:space="preserve">Studies carried out in the last decade have highlighted, for example, that LGBT and BAME communities suffer disproportionately in access to counselling and psychotherapy, because the services are not there for them, the services are not made for them, and they’re less likely to be referred to services in the first instance. </w:t>
            </w:r>
          </w:p>
        </w:tc>
      </w:tr>
      <w:tr w:rsidR="00FF018C" w14:paraId="5CC647EA" w14:textId="77777777" w:rsidTr="00E7277E">
        <w:tc>
          <w:tcPr>
            <w:tcW w:w="544" w:type="dxa"/>
          </w:tcPr>
          <w:p w14:paraId="4B948BC0" w14:textId="362B3CEF" w:rsidR="00FF018C" w:rsidRDefault="00FF018C" w:rsidP="00C51AFD">
            <w:pPr>
              <w:spacing w:line="480" w:lineRule="auto"/>
              <w:rPr>
                <w:b/>
              </w:rPr>
            </w:pPr>
            <w:r>
              <w:rPr>
                <w:b/>
              </w:rPr>
              <w:t>8</w:t>
            </w:r>
          </w:p>
        </w:tc>
        <w:tc>
          <w:tcPr>
            <w:tcW w:w="8698" w:type="dxa"/>
          </w:tcPr>
          <w:p w14:paraId="1CC215AD" w14:textId="79F9ECCD" w:rsidR="00FF018C" w:rsidRDefault="00FF018C" w:rsidP="00C51AFD">
            <w:pPr>
              <w:spacing w:line="480" w:lineRule="auto"/>
              <w:rPr>
                <w:b/>
              </w:rPr>
            </w:pPr>
            <w:r w:rsidRPr="00FF018C">
              <w:rPr>
                <w:b/>
              </w:rPr>
              <w:t xml:space="preserve">My personal stance as a practitioner comes from the position of being from a working class background, being a minority, of being </w:t>
            </w:r>
            <w:proofErr w:type="spellStart"/>
            <w:r w:rsidRPr="00FF018C">
              <w:rPr>
                <w:b/>
              </w:rPr>
              <w:t>cisgendered</w:t>
            </w:r>
            <w:proofErr w:type="spellEnd"/>
            <w:r w:rsidRPr="00FF018C">
              <w:rPr>
                <w:b/>
              </w:rPr>
              <w:t xml:space="preserve">, but of also being bisexual and from a Sikh heritage background. As a process of understanding those intersections and how they interact I’ve become acutely aware that representation of being from the LGBT community and of being from a BAME community is minimal at best. </w:t>
            </w:r>
          </w:p>
        </w:tc>
      </w:tr>
      <w:tr w:rsidR="00FF018C" w14:paraId="3570629D" w14:textId="77777777" w:rsidTr="00E7277E">
        <w:tc>
          <w:tcPr>
            <w:tcW w:w="544" w:type="dxa"/>
          </w:tcPr>
          <w:p w14:paraId="66B9EC10" w14:textId="33CD63A2" w:rsidR="00FF018C" w:rsidRDefault="00FF018C" w:rsidP="00C51AFD">
            <w:pPr>
              <w:spacing w:line="480" w:lineRule="auto"/>
              <w:rPr>
                <w:b/>
              </w:rPr>
            </w:pPr>
            <w:r>
              <w:rPr>
                <w:b/>
              </w:rPr>
              <w:t>9</w:t>
            </w:r>
          </w:p>
        </w:tc>
        <w:tc>
          <w:tcPr>
            <w:tcW w:w="8698" w:type="dxa"/>
          </w:tcPr>
          <w:p w14:paraId="077F1B04" w14:textId="77777777" w:rsidR="00FF018C" w:rsidRPr="00FF018C" w:rsidRDefault="00FF018C" w:rsidP="00FF018C">
            <w:pPr>
              <w:spacing w:line="480" w:lineRule="auto"/>
              <w:rPr>
                <w:b/>
              </w:rPr>
            </w:pPr>
            <w:r w:rsidRPr="00FF018C">
              <w:rPr>
                <w:b/>
              </w:rPr>
              <w:t xml:space="preserve">In modern parlance, we seem to, as a society, be playing catch up from a very Victorian, and some would argue imperialistic hangover, where attitudes to sex and sexuality were stymied in political and cultural spheres, and subsequently – we could eventually move into a place of Liberation, the space where these inequalities are addressed. </w:t>
            </w:r>
          </w:p>
          <w:p w14:paraId="05A210EF" w14:textId="77777777" w:rsidR="00FF018C" w:rsidRDefault="00FF018C" w:rsidP="00C51AFD">
            <w:pPr>
              <w:spacing w:line="480" w:lineRule="auto"/>
              <w:rPr>
                <w:b/>
              </w:rPr>
            </w:pPr>
          </w:p>
        </w:tc>
      </w:tr>
      <w:tr w:rsidR="00FF018C" w14:paraId="31E4776C" w14:textId="77777777" w:rsidTr="00E7277E">
        <w:tc>
          <w:tcPr>
            <w:tcW w:w="544" w:type="dxa"/>
          </w:tcPr>
          <w:p w14:paraId="30A1DFD5" w14:textId="23BB2A20" w:rsidR="00FF018C" w:rsidRDefault="00FF018C" w:rsidP="00C51AFD">
            <w:pPr>
              <w:spacing w:line="480" w:lineRule="auto"/>
              <w:rPr>
                <w:b/>
              </w:rPr>
            </w:pPr>
            <w:r>
              <w:rPr>
                <w:b/>
              </w:rPr>
              <w:t>10</w:t>
            </w:r>
          </w:p>
        </w:tc>
        <w:tc>
          <w:tcPr>
            <w:tcW w:w="8698" w:type="dxa"/>
          </w:tcPr>
          <w:p w14:paraId="4D14CC0A" w14:textId="68A85FDC" w:rsidR="00FF018C" w:rsidRDefault="00FF018C" w:rsidP="00C51AFD">
            <w:pPr>
              <w:spacing w:line="480" w:lineRule="auto"/>
              <w:rPr>
                <w:b/>
              </w:rPr>
            </w:pPr>
            <w:r w:rsidRPr="00FF018C">
              <w:rPr>
                <w:b/>
              </w:rPr>
              <w:t>So how do we frame the concept of social justice in the Division of Counselling Psychology?</w:t>
            </w:r>
            <w:r w:rsidRPr="00FF018C">
              <w:rPr>
                <w:b/>
              </w:rPr>
              <w:br/>
              <w:t>I think an elementary and cursory look at the statistics recorded by the HCPC for example are indicative of a wider issue of representation and study in psychology.</w:t>
            </w:r>
          </w:p>
        </w:tc>
      </w:tr>
      <w:tr w:rsidR="00FF018C" w14:paraId="3FC25D98" w14:textId="77777777" w:rsidTr="00E7277E">
        <w:tc>
          <w:tcPr>
            <w:tcW w:w="544" w:type="dxa"/>
          </w:tcPr>
          <w:p w14:paraId="1FE5343D" w14:textId="1C7AE5C4" w:rsidR="00FF018C" w:rsidRDefault="00FF018C" w:rsidP="00C51AFD">
            <w:pPr>
              <w:spacing w:line="480" w:lineRule="auto"/>
              <w:rPr>
                <w:b/>
              </w:rPr>
            </w:pPr>
            <w:r>
              <w:rPr>
                <w:b/>
              </w:rPr>
              <w:t>11</w:t>
            </w:r>
          </w:p>
        </w:tc>
        <w:tc>
          <w:tcPr>
            <w:tcW w:w="8698" w:type="dxa"/>
          </w:tcPr>
          <w:p w14:paraId="3711C514" w14:textId="2323A62B" w:rsidR="00FF018C" w:rsidRDefault="00FF018C" w:rsidP="00C51AFD">
            <w:pPr>
              <w:spacing w:line="480" w:lineRule="auto"/>
              <w:rPr>
                <w:b/>
              </w:rPr>
            </w:pPr>
            <w:r w:rsidRPr="00FF018C">
              <w:rPr>
                <w:b/>
              </w:rPr>
              <w:t xml:space="preserve">The figures indicate that Counselling Psychologists are 10% of Psychology practitioners - that are predominantly female within the age ranges of 30-55 (1550 of practitioners). However, I looked at various sources, and there seems to be little information on breakdown of statistics in accordance with ethnicity or sexual orientation which I found interesting, having looked on the HCPC website, the BPS website, and various research sites – I couldn’t find a </w:t>
            </w:r>
            <w:r w:rsidRPr="00FF018C">
              <w:rPr>
                <w:b/>
              </w:rPr>
              <w:lastRenderedPageBreak/>
              <w:t xml:space="preserve">breakdown of race or ethnicity statistics for counselling psychologist practitioners.  I also contacted the Black and Asian Counselling Psychologist Group (BACPG) from the BPS, who suggested that the information is not available </w:t>
            </w:r>
            <w:r w:rsidRPr="00FF018C">
              <w:rPr>
                <w:b/>
                <w:i/>
                <w:iCs/>
              </w:rPr>
              <w:t>yet</w:t>
            </w:r>
            <w:r w:rsidRPr="00FF018C">
              <w:rPr>
                <w:b/>
              </w:rPr>
              <w:t>, but that it’s being collected.</w:t>
            </w:r>
            <w:r w:rsidRPr="00FF018C">
              <w:rPr>
                <w:b/>
              </w:rPr>
              <w:br/>
              <w:t xml:space="preserve">Subsequently, I also could not find information regarding Counselling Psychology trainees, which could have indicated the trajectory of trainee trends. </w:t>
            </w:r>
          </w:p>
        </w:tc>
      </w:tr>
      <w:tr w:rsidR="00FF018C" w14:paraId="68E85E9F" w14:textId="77777777" w:rsidTr="00E7277E">
        <w:tc>
          <w:tcPr>
            <w:tcW w:w="544" w:type="dxa"/>
          </w:tcPr>
          <w:p w14:paraId="09571445" w14:textId="2B09179E" w:rsidR="00FF018C" w:rsidRDefault="00FF018C" w:rsidP="00C51AFD">
            <w:pPr>
              <w:spacing w:line="480" w:lineRule="auto"/>
              <w:rPr>
                <w:b/>
              </w:rPr>
            </w:pPr>
            <w:r>
              <w:rPr>
                <w:b/>
              </w:rPr>
              <w:lastRenderedPageBreak/>
              <w:t>12</w:t>
            </w:r>
          </w:p>
        </w:tc>
        <w:tc>
          <w:tcPr>
            <w:tcW w:w="8698" w:type="dxa"/>
          </w:tcPr>
          <w:p w14:paraId="6CB14D1E" w14:textId="32E086E8" w:rsidR="00FF018C" w:rsidRDefault="00FF018C" w:rsidP="00C51AFD">
            <w:pPr>
              <w:spacing w:line="480" w:lineRule="auto"/>
              <w:rPr>
                <w:b/>
              </w:rPr>
            </w:pPr>
            <w:r w:rsidRPr="00FF018C">
              <w:rPr>
                <w:b/>
              </w:rPr>
              <w:t>Previous figures and statistics with regards to trainees have been published from the division of clinical psychology, and indicate that between 2005 and 2014 the number of applicants to clinical courses have gone up from 12% to 15%, but the number of accepted trainees from BAME communities has remained approximately between 5 and 10%. (Smith, 2016, BPS).</w:t>
            </w:r>
          </w:p>
        </w:tc>
      </w:tr>
      <w:tr w:rsidR="00FF018C" w14:paraId="4F451820" w14:textId="77777777" w:rsidTr="00E7277E">
        <w:tc>
          <w:tcPr>
            <w:tcW w:w="544" w:type="dxa"/>
          </w:tcPr>
          <w:p w14:paraId="42E5C90F" w14:textId="094FD4B2" w:rsidR="00FF018C" w:rsidRDefault="00FF018C" w:rsidP="00C51AFD">
            <w:pPr>
              <w:spacing w:line="480" w:lineRule="auto"/>
              <w:rPr>
                <w:b/>
              </w:rPr>
            </w:pPr>
            <w:r>
              <w:rPr>
                <w:b/>
              </w:rPr>
              <w:t>13</w:t>
            </w:r>
          </w:p>
        </w:tc>
        <w:tc>
          <w:tcPr>
            <w:tcW w:w="8698" w:type="dxa"/>
          </w:tcPr>
          <w:p w14:paraId="045F18BF" w14:textId="3ED88F70" w:rsidR="00FF018C" w:rsidRDefault="00FF018C" w:rsidP="00C51AFD">
            <w:pPr>
              <w:spacing w:line="480" w:lineRule="auto"/>
              <w:rPr>
                <w:b/>
              </w:rPr>
            </w:pPr>
            <w:r w:rsidRPr="00FF018C">
              <w:rPr>
                <w:b/>
              </w:rPr>
              <w:t xml:space="preserve">So when we begin to discuss the idea of Social Justice within the </w:t>
            </w:r>
            <w:proofErr w:type="spellStart"/>
            <w:r w:rsidRPr="00FF018C">
              <w:rPr>
                <w:b/>
              </w:rPr>
              <w:t>DCoP</w:t>
            </w:r>
            <w:proofErr w:type="spellEnd"/>
            <w:r w:rsidRPr="00FF018C">
              <w:rPr>
                <w:b/>
              </w:rPr>
              <w:t>, as far as I could see, we didn’t have a baseline in order to begin to establish what could be done to execute positive change around the demographic of our practitioner base</w:t>
            </w:r>
            <w:r>
              <w:rPr>
                <w:b/>
              </w:rPr>
              <w:t>, and the challenges they could face as practitioners, which do seem to have been studied predominantly by BAME practitioners.</w:t>
            </w:r>
          </w:p>
        </w:tc>
      </w:tr>
      <w:tr w:rsidR="00FF018C" w14:paraId="022B920C" w14:textId="77777777" w:rsidTr="00E7277E">
        <w:tc>
          <w:tcPr>
            <w:tcW w:w="544" w:type="dxa"/>
          </w:tcPr>
          <w:p w14:paraId="6AED8DCE" w14:textId="398A0501" w:rsidR="00FF018C" w:rsidRDefault="00FF018C" w:rsidP="00C51AFD">
            <w:pPr>
              <w:spacing w:line="480" w:lineRule="auto"/>
              <w:rPr>
                <w:b/>
              </w:rPr>
            </w:pPr>
            <w:r>
              <w:rPr>
                <w:b/>
              </w:rPr>
              <w:t>14</w:t>
            </w:r>
          </w:p>
        </w:tc>
        <w:tc>
          <w:tcPr>
            <w:tcW w:w="8698" w:type="dxa"/>
          </w:tcPr>
          <w:p w14:paraId="36660070" w14:textId="3E73AEDC" w:rsidR="00FF018C" w:rsidRDefault="00FF018C" w:rsidP="00C51AFD">
            <w:pPr>
              <w:spacing w:line="480" w:lineRule="auto"/>
              <w:rPr>
                <w:b/>
              </w:rPr>
            </w:pPr>
            <w:r w:rsidRPr="00FF018C">
              <w:rPr>
                <w:b/>
              </w:rPr>
              <w:t xml:space="preserve">Recently, however, I am aware, that the </w:t>
            </w:r>
            <w:proofErr w:type="spellStart"/>
            <w:r w:rsidRPr="00FF018C">
              <w:rPr>
                <w:b/>
              </w:rPr>
              <w:t>DCoP</w:t>
            </w:r>
            <w:proofErr w:type="spellEnd"/>
            <w:r w:rsidRPr="00FF018C">
              <w:rPr>
                <w:b/>
              </w:rPr>
              <w:t xml:space="preserve"> published the Counselling Psychology review, which was a Race and counselling special edition – and that makes for wonderful reading. </w:t>
            </w:r>
            <w:r w:rsidRPr="00FF018C">
              <w:rPr>
                <w:b/>
              </w:rPr>
              <w:br/>
              <w:t xml:space="preserve">The BPS also have the Psychology of Sexualities section which also send out their periodic reviews, and again, are great reading – especially if you’re interested in sexuality studies. </w:t>
            </w:r>
          </w:p>
        </w:tc>
      </w:tr>
      <w:tr w:rsidR="00E7277E" w14:paraId="5F39FD20" w14:textId="77777777" w:rsidTr="00E7277E">
        <w:tc>
          <w:tcPr>
            <w:tcW w:w="544" w:type="dxa"/>
          </w:tcPr>
          <w:p w14:paraId="71B3A04E" w14:textId="657401CE" w:rsidR="00E7277E" w:rsidRDefault="00E7277E" w:rsidP="00C51AFD">
            <w:pPr>
              <w:spacing w:line="480" w:lineRule="auto"/>
              <w:rPr>
                <w:b/>
              </w:rPr>
            </w:pPr>
            <w:r>
              <w:rPr>
                <w:b/>
              </w:rPr>
              <w:t>15</w:t>
            </w:r>
          </w:p>
        </w:tc>
        <w:tc>
          <w:tcPr>
            <w:tcW w:w="8698" w:type="dxa"/>
          </w:tcPr>
          <w:p w14:paraId="0E1A4BA6" w14:textId="77777777" w:rsidR="00E7277E" w:rsidRPr="00E7277E" w:rsidRDefault="00E7277E" w:rsidP="00E7277E">
            <w:pPr>
              <w:spacing w:line="480" w:lineRule="auto"/>
              <w:rPr>
                <w:b/>
              </w:rPr>
            </w:pPr>
            <w:r w:rsidRPr="00E7277E">
              <w:rPr>
                <w:b/>
              </w:rPr>
              <w:t xml:space="preserve">Current research published in the Counselling Psychology Review (Neo &amp; </w:t>
            </w:r>
            <w:proofErr w:type="spellStart"/>
            <w:r w:rsidRPr="00E7277E">
              <w:rPr>
                <w:b/>
              </w:rPr>
              <w:t>Akhurst</w:t>
            </w:r>
            <w:proofErr w:type="spellEnd"/>
            <w:r w:rsidRPr="00E7277E">
              <w:rPr>
                <w:b/>
              </w:rPr>
              <w:t xml:space="preserve">, 2016) highlighted some experience of minority counsellors in the North, as an IPA study. The introduction of this specific paper spoke to an ongoing discussion in the field which looks towards the etic and emic perspectives of counselling, which has become increasing pertinent as a discussion due to the multicultural nature of the population. </w:t>
            </w:r>
          </w:p>
          <w:p w14:paraId="1319C8D3" w14:textId="77777777" w:rsidR="00E7277E" w:rsidRPr="00FF018C" w:rsidRDefault="00E7277E" w:rsidP="00C51AFD">
            <w:pPr>
              <w:spacing w:line="480" w:lineRule="auto"/>
              <w:rPr>
                <w:b/>
              </w:rPr>
            </w:pPr>
          </w:p>
        </w:tc>
      </w:tr>
      <w:tr w:rsidR="00FF018C" w14:paraId="306E0D27" w14:textId="77777777" w:rsidTr="00E7277E">
        <w:tc>
          <w:tcPr>
            <w:tcW w:w="544" w:type="dxa"/>
          </w:tcPr>
          <w:p w14:paraId="6BB10AA1" w14:textId="1153F6E7" w:rsidR="00FF018C" w:rsidRDefault="00E7277E" w:rsidP="00C51AFD">
            <w:pPr>
              <w:spacing w:line="480" w:lineRule="auto"/>
              <w:rPr>
                <w:b/>
              </w:rPr>
            </w:pPr>
            <w:r>
              <w:rPr>
                <w:b/>
              </w:rPr>
              <w:t>16</w:t>
            </w:r>
          </w:p>
        </w:tc>
        <w:tc>
          <w:tcPr>
            <w:tcW w:w="8698" w:type="dxa"/>
          </w:tcPr>
          <w:p w14:paraId="01F1B309" w14:textId="4AFBF4D7" w:rsidR="00FF018C" w:rsidRDefault="00FF018C" w:rsidP="00C51AFD">
            <w:pPr>
              <w:spacing w:line="480" w:lineRule="auto"/>
              <w:rPr>
                <w:b/>
              </w:rPr>
            </w:pPr>
            <w:r w:rsidRPr="00FF018C">
              <w:rPr>
                <w:b/>
              </w:rPr>
              <w:t xml:space="preserve">As mentioned earlier from the Stonewall and MIND data, these cultural issues impact mental health statistics in various ways and as practitioners we need to be aware of what they could be. Various authors have suggested models that could construct a semblance of how to think, and negotiate cultural issues. </w:t>
            </w:r>
          </w:p>
        </w:tc>
      </w:tr>
      <w:tr w:rsidR="00FF018C" w14:paraId="05F3AF51" w14:textId="77777777" w:rsidTr="00E7277E">
        <w:tc>
          <w:tcPr>
            <w:tcW w:w="544" w:type="dxa"/>
          </w:tcPr>
          <w:p w14:paraId="6364BCC8" w14:textId="4C534C0F" w:rsidR="00FF018C" w:rsidRDefault="00E7277E" w:rsidP="00C51AFD">
            <w:pPr>
              <w:spacing w:line="480" w:lineRule="auto"/>
              <w:rPr>
                <w:b/>
              </w:rPr>
            </w:pPr>
            <w:r>
              <w:rPr>
                <w:b/>
              </w:rPr>
              <w:t>17</w:t>
            </w:r>
          </w:p>
        </w:tc>
        <w:tc>
          <w:tcPr>
            <w:tcW w:w="8698" w:type="dxa"/>
          </w:tcPr>
          <w:p w14:paraId="2AAB3A98" w14:textId="2C266B8D" w:rsidR="00FF018C" w:rsidRDefault="00FF018C" w:rsidP="00C51AFD">
            <w:pPr>
              <w:spacing w:line="480" w:lineRule="auto"/>
              <w:rPr>
                <w:b/>
              </w:rPr>
            </w:pPr>
            <w:r w:rsidRPr="00FF018C">
              <w:rPr>
                <w:b/>
              </w:rPr>
              <w:t xml:space="preserve">I would also suggest that the impact for the practice of counselling psychology could benefit from ongoing critical analysis from differing perspectives because this is how we begin to challenge the hegemonic and  Eurocentric approach to counselling as norm. </w:t>
            </w:r>
          </w:p>
        </w:tc>
      </w:tr>
      <w:tr w:rsidR="00FF018C" w14:paraId="24F7169D" w14:textId="77777777" w:rsidTr="00E7277E">
        <w:tc>
          <w:tcPr>
            <w:tcW w:w="544" w:type="dxa"/>
          </w:tcPr>
          <w:p w14:paraId="7C48C8D4" w14:textId="0BEE5065" w:rsidR="00FF018C" w:rsidRDefault="00E7277E" w:rsidP="00C51AFD">
            <w:pPr>
              <w:spacing w:line="480" w:lineRule="auto"/>
              <w:rPr>
                <w:b/>
              </w:rPr>
            </w:pPr>
            <w:r>
              <w:rPr>
                <w:b/>
              </w:rPr>
              <w:t>18</w:t>
            </w:r>
          </w:p>
        </w:tc>
        <w:tc>
          <w:tcPr>
            <w:tcW w:w="8698" w:type="dxa"/>
          </w:tcPr>
          <w:p w14:paraId="0F4D565E" w14:textId="691FC4B8" w:rsidR="00FF018C" w:rsidRDefault="00E7277E" w:rsidP="00C51AFD">
            <w:pPr>
              <w:spacing w:line="480" w:lineRule="auto"/>
              <w:rPr>
                <w:b/>
              </w:rPr>
            </w:pPr>
            <w:r w:rsidRPr="00E7277E">
              <w:rPr>
                <w:b/>
              </w:rPr>
              <w:t xml:space="preserve">Despite the etic approach and the common factors needed to establish a good therapeutic alliance, we need to balance this with multicultural awareness and understanding that help evolve research, data collection and the production of knowledges, and we can look at challenging ourselves as a profession to become more inclusive and ordinary as the demographics of people we are working with in our therapeutic practice. </w:t>
            </w:r>
          </w:p>
        </w:tc>
      </w:tr>
      <w:tr w:rsidR="00FF018C" w14:paraId="46D19561" w14:textId="77777777" w:rsidTr="00E7277E">
        <w:tc>
          <w:tcPr>
            <w:tcW w:w="544" w:type="dxa"/>
          </w:tcPr>
          <w:p w14:paraId="4641BD7A" w14:textId="46904A9F" w:rsidR="00FF018C" w:rsidRDefault="00E7277E" w:rsidP="00C51AFD">
            <w:pPr>
              <w:spacing w:line="480" w:lineRule="auto"/>
              <w:rPr>
                <w:b/>
              </w:rPr>
            </w:pPr>
            <w:r>
              <w:rPr>
                <w:b/>
              </w:rPr>
              <w:t>19</w:t>
            </w:r>
          </w:p>
        </w:tc>
        <w:tc>
          <w:tcPr>
            <w:tcW w:w="8698" w:type="dxa"/>
          </w:tcPr>
          <w:p w14:paraId="630EB8BA" w14:textId="5DBF241C" w:rsidR="00FF018C" w:rsidRDefault="00E7277E" w:rsidP="00C51AFD">
            <w:pPr>
              <w:spacing w:line="480" w:lineRule="auto"/>
              <w:rPr>
                <w:b/>
              </w:rPr>
            </w:pPr>
            <w:r>
              <w:rPr>
                <w:b/>
              </w:rPr>
              <w:t>Thanks for your time!</w:t>
            </w:r>
          </w:p>
        </w:tc>
      </w:tr>
      <w:tr w:rsidR="00FF018C" w14:paraId="2C3F5D09" w14:textId="77777777" w:rsidTr="00E7277E">
        <w:tc>
          <w:tcPr>
            <w:tcW w:w="544" w:type="dxa"/>
          </w:tcPr>
          <w:p w14:paraId="6636B58C" w14:textId="0AD1F27C" w:rsidR="00FF018C" w:rsidRDefault="00E7277E" w:rsidP="00C51AFD">
            <w:pPr>
              <w:spacing w:line="480" w:lineRule="auto"/>
              <w:rPr>
                <w:b/>
              </w:rPr>
            </w:pPr>
            <w:r>
              <w:rPr>
                <w:b/>
              </w:rPr>
              <w:t>20</w:t>
            </w:r>
          </w:p>
        </w:tc>
        <w:tc>
          <w:tcPr>
            <w:tcW w:w="8698" w:type="dxa"/>
          </w:tcPr>
          <w:p w14:paraId="5BDF9AB8" w14:textId="264FDB3B" w:rsidR="00FF018C" w:rsidRDefault="00E7277E" w:rsidP="00C51AFD">
            <w:pPr>
              <w:spacing w:line="480" w:lineRule="auto"/>
              <w:rPr>
                <w:b/>
              </w:rPr>
            </w:pPr>
            <w:r>
              <w:rPr>
                <w:b/>
              </w:rPr>
              <w:t>REFERENCES</w:t>
            </w:r>
          </w:p>
        </w:tc>
      </w:tr>
    </w:tbl>
    <w:p w14:paraId="01CDB468" w14:textId="542F05DE" w:rsidR="001A71AB" w:rsidRPr="00706919" w:rsidRDefault="001A71AB" w:rsidP="00C51AFD">
      <w:pPr>
        <w:spacing w:line="480" w:lineRule="auto"/>
        <w:rPr>
          <w:i/>
        </w:rPr>
      </w:pPr>
    </w:p>
    <w:sectPr w:rsidR="001A71AB" w:rsidRPr="0070691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writeProtection w:recommended="1"/>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70AD8"/>
    <w:rsid w:val="00083142"/>
    <w:rsid w:val="0014108C"/>
    <w:rsid w:val="001A71AB"/>
    <w:rsid w:val="002212DE"/>
    <w:rsid w:val="002922B4"/>
    <w:rsid w:val="002F48AD"/>
    <w:rsid w:val="002F63D5"/>
    <w:rsid w:val="00320EA5"/>
    <w:rsid w:val="00344BC0"/>
    <w:rsid w:val="003A2519"/>
    <w:rsid w:val="00455F1C"/>
    <w:rsid w:val="00471914"/>
    <w:rsid w:val="00484939"/>
    <w:rsid w:val="00513DA3"/>
    <w:rsid w:val="00554AE9"/>
    <w:rsid w:val="005B6A53"/>
    <w:rsid w:val="005E27B3"/>
    <w:rsid w:val="00630114"/>
    <w:rsid w:val="006635F5"/>
    <w:rsid w:val="006B473C"/>
    <w:rsid w:val="00706919"/>
    <w:rsid w:val="008113E7"/>
    <w:rsid w:val="0087538E"/>
    <w:rsid w:val="00881DBC"/>
    <w:rsid w:val="00882F7E"/>
    <w:rsid w:val="00894798"/>
    <w:rsid w:val="008B541D"/>
    <w:rsid w:val="008E72B4"/>
    <w:rsid w:val="009968A9"/>
    <w:rsid w:val="00A202B5"/>
    <w:rsid w:val="00A27557"/>
    <w:rsid w:val="00A61BD7"/>
    <w:rsid w:val="00AF7652"/>
    <w:rsid w:val="00B07107"/>
    <w:rsid w:val="00B46D55"/>
    <w:rsid w:val="00B94EBA"/>
    <w:rsid w:val="00BD19EA"/>
    <w:rsid w:val="00C1505F"/>
    <w:rsid w:val="00C2302A"/>
    <w:rsid w:val="00C51AFD"/>
    <w:rsid w:val="00C71EDF"/>
    <w:rsid w:val="00C96DAF"/>
    <w:rsid w:val="00CF3955"/>
    <w:rsid w:val="00D52B3B"/>
    <w:rsid w:val="00D70AD8"/>
    <w:rsid w:val="00DD739F"/>
    <w:rsid w:val="00E7277E"/>
    <w:rsid w:val="00F340BA"/>
    <w:rsid w:val="00FF01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1CCE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E72B4"/>
    <w:rPr>
      <w:color w:val="0563C1" w:themeColor="hyperlink"/>
      <w:u w:val="single"/>
    </w:rPr>
  </w:style>
  <w:style w:type="character" w:customStyle="1" w:styleId="Mention1">
    <w:name w:val="Mention1"/>
    <w:basedOn w:val="DefaultParagraphFont"/>
    <w:uiPriority w:val="99"/>
    <w:semiHidden/>
    <w:unhideWhenUsed/>
    <w:rsid w:val="008E72B4"/>
    <w:rPr>
      <w:color w:val="2B579A"/>
      <w:shd w:val="clear" w:color="auto" w:fill="E6E6E6"/>
    </w:rPr>
  </w:style>
  <w:style w:type="character" w:styleId="FollowedHyperlink">
    <w:name w:val="FollowedHyperlink"/>
    <w:basedOn w:val="DefaultParagraphFont"/>
    <w:uiPriority w:val="99"/>
    <w:semiHidden/>
    <w:unhideWhenUsed/>
    <w:rsid w:val="002212DE"/>
    <w:rPr>
      <w:color w:val="954F72" w:themeColor="followedHyperlink"/>
      <w:u w:val="single"/>
    </w:rPr>
  </w:style>
  <w:style w:type="table" w:styleId="TableGrid">
    <w:name w:val="Table Grid"/>
    <w:basedOn w:val="TableNormal"/>
    <w:uiPriority w:val="39"/>
    <w:rsid w:val="00FF01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23290">
      <w:bodyDiv w:val="1"/>
      <w:marLeft w:val="0"/>
      <w:marRight w:val="0"/>
      <w:marTop w:val="0"/>
      <w:marBottom w:val="0"/>
      <w:divBdr>
        <w:top w:val="none" w:sz="0" w:space="0" w:color="auto"/>
        <w:left w:val="none" w:sz="0" w:space="0" w:color="auto"/>
        <w:bottom w:val="none" w:sz="0" w:space="0" w:color="auto"/>
        <w:right w:val="none" w:sz="0" w:space="0" w:color="auto"/>
      </w:divBdr>
    </w:div>
    <w:div w:id="98255193">
      <w:bodyDiv w:val="1"/>
      <w:marLeft w:val="0"/>
      <w:marRight w:val="0"/>
      <w:marTop w:val="0"/>
      <w:marBottom w:val="0"/>
      <w:divBdr>
        <w:top w:val="none" w:sz="0" w:space="0" w:color="auto"/>
        <w:left w:val="none" w:sz="0" w:space="0" w:color="auto"/>
        <w:bottom w:val="none" w:sz="0" w:space="0" w:color="auto"/>
        <w:right w:val="none" w:sz="0" w:space="0" w:color="auto"/>
      </w:divBdr>
    </w:div>
    <w:div w:id="160239515">
      <w:bodyDiv w:val="1"/>
      <w:marLeft w:val="0"/>
      <w:marRight w:val="0"/>
      <w:marTop w:val="0"/>
      <w:marBottom w:val="0"/>
      <w:divBdr>
        <w:top w:val="none" w:sz="0" w:space="0" w:color="auto"/>
        <w:left w:val="none" w:sz="0" w:space="0" w:color="auto"/>
        <w:bottom w:val="none" w:sz="0" w:space="0" w:color="auto"/>
        <w:right w:val="none" w:sz="0" w:space="0" w:color="auto"/>
      </w:divBdr>
    </w:div>
    <w:div w:id="211813364">
      <w:bodyDiv w:val="1"/>
      <w:marLeft w:val="0"/>
      <w:marRight w:val="0"/>
      <w:marTop w:val="0"/>
      <w:marBottom w:val="0"/>
      <w:divBdr>
        <w:top w:val="none" w:sz="0" w:space="0" w:color="auto"/>
        <w:left w:val="none" w:sz="0" w:space="0" w:color="auto"/>
        <w:bottom w:val="none" w:sz="0" w:space="0" w:color="auto"/>
        <w:right w:val="none" w:sz="0" w:space="0" w:color="auto"/>
      </w:divBdr>
    </w:div>
    <w:div w:id="257297106">
      <w:bodyDiv w:val="1"/>
      <w:marLeft w:val="0"/>
      <w:marRight w:val="0"/>
      <w:marTop w:val="0"/>
      <w:marBottom w:val="0"/>
      <w:divBdr>
        <w:top w:val="none" w:sz="0" w:space="0" w:color="auto"/>
        <w:left w:val="none" w:sz="0" w:space="0" w:color="auto"/>
        <w:bottom w:val="none" w:sz="0" w:space="0" w:color="auto"/>
        <w:right w:val="none" w:sz="0" w:space="0" w:color="auto"/>
      </w:divBdr>
    </w:div>
    <w:div w:id="299923845">
      <w:bodyDiv w:val="1"/>
      <w:marLeft w:val="0"/>
      <w:marRight w:val="0"/>
      <w:marTop w:val="0"/>
      <w:marBottom w:val="0"/>
      <w:divBdr>
        <w:top w:val="none" w:sz="0" w:space="0" w:color="auto"/>
        <w:left w:val="none" w:sz="0" w:space="0" w:color="auto"/>
        <w:bottom w:val="none" w:sz="0" w:space="0" w:color="auto"/>
        <w:right w:val="none" w:sz="0" w:space="0" w:color="auto"/>
      </w:divBdr>
    </w:div>
    <w:div w:id="475801170">
      <w:bodyDiv w:val="1"/>
      <w:marLeft w:val="0"/>
      <w:marRight w:val="0"/>
      <w:marTop w:val="0"/>
      <w:marBottom w:val="0"/>
      <w:divBdr>
        <w:top w:val="none" w:sz="0" w:space="0" w:color="auto"/>
        <w:left w:val="none" w:sz="0" w:space="0" w:color="auto"/>
        <w:bottom w:val="none" w:sz="0" w:space="0" w:color="auto"/>
        <w:right w:val="none" w:sz="0" w:space="0" w:color="auto"/>
      </w:divBdr>
    </w:div>
    <w:div w:id="582224708">
      <w:bodyDiv w:val="1"/>
      <w:marLeft w:val="0"/>
      <w:marRight w:val="0"/>
      <w:marTop w:val="0"/>
      <w:marBottom w:val="0"/>
      <w:divBdr>
        <w:top w:val="none" w:sz="0" w:space="0" w:color="auto"/>
        <w:left w:val="none" w:sz="0" w:space="0" w:color="auto"/>
        <w:bottom w:val="none" w:sz="0" w:space="0" w:color="auto"/>
        <w:right w:val="none" w:sz="0" w:space="0" w:color="auto"/>
      </w:divBdr>
    </w:div>
    <w:div w:id="885458210">
      <w:bodyDiv w:val="1"/>
      <w:marLeft w:val="0"/>
      <w:marRight w:val="0"/>
      <w:marTop w:val="0"/>
      <w:marBottom w:val="0"/>
      <w:divBdr>
        <w:top w:val="none" w:sz="0" w:space="0" w:color="auto"/>
        <w:left w:val="none" w:sz="0" w:space="0" w:color="auto"/>
        <w:bottom w:val="none" w:sz="0" w:space="0" w:color="auto"/>
        <w:right w:val="none" w:sz="0" w:space="0" w:color="auto"/>
      </w:divBdr>
    </w:div>
    <w:div w:id="905073702">
      <w:bodyDiv w:val="1"/>
      <w:marLeft w:val="0"/>
      <w:marRight w:val="0"/>
      <w:marTop w:val="0"/>
      <w:marBottom w:val="0"/>
      <w:divBdr>
        <w:top w:val="none" w:sz="0" w:space="0" w:color="auto"/>
        <w:left w:val="none" w:sz="0" w:space="0" w:color="auto"/>
        <w:bottom w:val="none" w:sz="0" w:space="0" w:color="auto"/>
        <w:right w:val="none" w:sz="0" w:space="0" w:color="auto"/>
      </w:divBdr>
    </w:div>
    <w:div w:id="920135695">
      <w:bodyDiv w:val="1"/>
      <w:marLeft w:val="0"/>
      <w:marRight w:val="0"/>
      <w:marTop w:val="0"/>
      <w:marBottom w:val="0"/>
      <w:divBdr>
        <w:top w:val="none" w:sz="0" w:space="0" w:color="auto"/>
        <w:left w:val="none" w:sz="0" w:space="0" w:color="auto"/>
        <w:bottom w:val="none" w:sz="0" w:space="0" w:color="auto"/>
        <w:right w:val="none" w:sz="0" w:space="0" w:color="auto"/>
      </w:divBdr>
    </w:div>
    <w:div w:id="929431904">
      <w:bodyDiv w:val="1"/>
      <w:marLeft w:val="0"/>
      <w:marRight w:val="0"/>
      <w:marTop w:val="0"/>
      <w:marBottom w:val="0"/>
      <w:divBdr>
        <w:top w:val="none" w:sz="0" w:space="0" w:color="auto"/>
        <w:left w:val="none" w:sz="0" w:space="0" w:color="auto"/>
        <w:bottom w:val="none" w:sz="0" w:space="0" w:color="auto"/>
        <w:right w:val="none" w:sz="0" w:space="0" w:color="auto"/>
      </w:divBdr>
    </w:div>
    <w:div w:id="1096056541">
      <w:bodyDiv w:val="1"/>
      <w:marLeft w:val="0"/>
      <w:marRight w:val="0"/>
      <w:marTop w:val="0"/>
      <w:marBottom w:val="0"/>
      <w:divBdr>
        <w:top w:val="none" w:sz="0" w:space="0" w:color="auto"/>
        <w:left w:val="none" w:sz="0" w:space="0" w:color="auto"/>
        <w:bottom w:val="none" w:sz="0" w:space="0" w:color="auto"/>
        <w:right w:val="none" w:sz="0" w:space="0" w:color="auto"/>
      </w:divBdr>
    </w:div>
    <w:div w:id="1317149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1041</Words>
  <Characters>5935</Characters>
  <Application>Microsoft Office Word</Application>
  <DocSecurity>2</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Kent &amp; Medway Partnership Trust</Company>
  <LinksUpToDate>false</LinksUpToDate>
  <CharactersWithSpaces>6963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Jaspreet Singh Tehara (Research Student)</dc:creator>
  <cp:lastModifiedBy>Jaspreet Singh Tehara (Research Student)</cp:lastModifiedBy>
  <cp:revision>4</cp:revision>
  <dcterms:created xsi:type="dcterms:W3CDTF">2017-07-05T17:50:00Z</dcterms:created>
  <dcterms:modified xsi:type="dcterms:W3CDTF">2019-03-20T10:18:00Z</dcterms:modified>
</cp:coreProperties>
</file>